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3600" w:firstLineChars="1500"/>
        <w:rPr>
          <w:rFonts w:hint="default" w:ascii="楷体" w:hAnsi="楷体" w:eastAsia="楷体" w:cs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</w:rPr>
        <w:t>天鹭湖</w:t>
      </w:r>
    </w:p>
    <w:p>
      <w:pPr>
        <w:snapToGrid w:val="0"/>
        <w:ind w:firstLine="4560" w:firstLineChars="1900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——李志远</w:t>
      </w:r>
    </w:p>
    <w:p>
      <w:pPr>
        <w:snapToGrid w:val="0"/>
        <w:ind w:firstLine="480" w:firstLineChars="200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天鹭湖边白鹭飞，翩翩起舞影依依。风来波浪层层叠，雾起群山隐隐威。</w:t>
      </w:r>
    </w:p>
    <w:p>
      <w:pPr>
        <w:snapToGrid w:val="0"/>
        <w:ind w:firstLine="480" w:firstLineChars="200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静坐花间自陶醉，抬头落日已西归。回程急步楼前绕，惊起梁头黑燕飞。</w:t>
      </w:r>
    </w:p>
    <w:p>
      <w:pPr>
        <w:snapToGrid w:val="0"/>
        <w:rPr>
          <w:rFonts w:hint="eastAsia" w:ascii="楷体" w:hAnsi="楷体" w:eastAsia="楷体" w:cs="楷体"/>
          <w:color w:val="000000"/>
          <w:sz w:val="24"/>
        </w:rPr>
      </w:pPr>
    </w:p>
    <w:p>
      <w:pPr>
        <w:snapToGrid w:val="0"/>
        <w:ind w:firstLine="2640" w:firstLineChars="1100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采桑子.秋雨相聚天鹭湖体验園</w:t>
      </w:r>
    </w:p>
    <w:p>
      <w:pPr>
        <w:snapToGrid w:val="0"/>
        <w:ind w:firstLine="4560" w:firstLineChars="1900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——游宪明</w:t>
      </w:r>
    </w:p>
    <w:p>
      <w:pPr>
        <w:snapToGrid w:val="0"/>
        <w:ind w:firstLine="480" w:firstLineChars="200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与君相聚天湖畔，云亦悠悠，意亦悠悠。急雨敲门正是秋。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24"/>
        </w:rPr>
        <w:t>登高俯瞰園堪美。山径幽幽，石涧泉流。景色迷人鹭也留。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2020-09-20T01:51:11Z</dcterms:created>
  <dc:creator>87604</dc:creator>
  <cp:lastModifiedBy>青衣</cp:lastModifiedBy>
  <dcterms:modified xsi:type="dcterms:W3CDTF">2020-09-20T01:51:28Z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